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765" w:rsidRPr="00873F43" w:rsidRDefault="00E27765" w:rsidP="00E27765">
      <w:pPr>
        <w:shd w:val="solid" w:color="auto" w:fill="auto"/>
        <w:autoSpaceDE w:val="0"/>
        <w:autoSpaceDN w:val="0"/>
        <w:adjustRightInd w:val="0"/>
        <w:jc w:val="center"/>
        <w:rPr>
          <w:rFonts w:ascii="Verdana" w:hAnsi="Verdana" w:cs="Times New Roman"/>
          <w:sz w:val="36"/>
          <w:szCs w:val="36"/>
        </w:rPr>
      </w:pPr>
      <w:r w:rsidRPr="00873F43">
        <w:rPr>
          <w:rFonts w:ascii="Verdana" w:hAnsi="Verdana" w:cs="Times New Roman"/>
          <w:sz w:val="36"/>
          <w:szCs w:val="36"/>
        </w:rPr>
        <w:t>Scanned Licence Directory</w:t>
      </w:r>
    </w:p>
    <w:p w:rsidR="00E27765" w:rsidRPr="00873F43" w:rsidRDefault="00E27765" w:rsidP="00E27765">
      <w:pPr>
        <w:autoSpaceDE w:val="0"/>
        <w:autoSpaceDN w:val="0"/>
        <w:adjustRightInd w:val="0"/>
        <w:rPr>
          <w:rFonts w:ascii="Verdana" w:hAnsi="Verdana" w:cs="Times New Roman"/>
        </w:rPr>
      </w:pPr>
    </w:p>
    <w:p w:rsidR="00CE6E6F" w:rsidRPr="00CE6E6F" w:rsidRDefault="00CE6E6F" w:rsidP="00CE6E6F">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Verdana" w:hAnsi="Verdana" w:cs="Times New Roman"/>
          <w:i/>
          <w:color w:val="151515"/>
          <w:sz w:val="20"/>
          <w:szCs w:val="20"/>
          <w:lang w:val="en-CA" w:eastAsia="en-CA"/>
        </w:rPr>
      </w:pPr>
      <w:r w:rsidRPr="00CE6E6F">
        <w:rPr>
          <w:rFonts w:ascii="Verdana" w:hAnsi="Verdana" w:cs="Times New Roman"/>
          <w:i/>
          <w:color w:val="151515"/>
          <w:sz w:val="20"/>
          <w:szCs w:val="20"/>
          <w:lang w:val="en-CA" w:eastAsia="en-CA"/>
        </w:rPr>
        <w:t>Please note as of Feb 2017 this directory is no longer being updated</w:t>
      </w:r>
      <w:r w:rsidRPr="00CE6E6F">
        <w:rPr>
          <w:rFonts w:ascii="Verdana" w:hAnsi="Verdana" w:cs="Times New Roman"/>
          <w:i/>
          <w:color w:val="151515"/>
          <w:sz w:val="20"/>
          <w:szCs w:val="20"/>
          <w:lang w:val="en-CA" w:eastAsia="en-CA"/>
        </w:rPr>
        <w:t xml:space="preserve"> with water licence documents</w:t>
      </w:r>
      <w:r w:rsidRPr="00CE6E6F">
        <w:rPr>
          <w:rFonts w:ascii="Verdana" w:hAnsi="Verdana" w:cs="Times New Roman"/>
          <w:i/>
          <w:color w:val="151515"/>
          <w:sz w:val="20"/>
          <w:szCs w:val="20"/>
          <w:lang w:val="en-CA" w:eastAsia="en-CA"/>
        </w:rPr>
        <w:t xml:space="preserve">.  You can now search for water licences through this search tool:  </w:t>
      </w:r>
      <w:hyperlink r:id="rId7" w:history="1">
        <w:r w:rsidRPr="00CE6E6F">
          <w:rPr>
            <w:rStyle w:val="Hyperlink"/>
            <w:rFonts w:ascii="Verdana" w:hAnsi="Verdana" w:cs="Times New Roman"/>
            <w:i/>
            <w:sz w:val="20"/>
            <w:szCs w:val="20"/>
            <w:lang w:val="en-CA" w:eastAsia="en-CA"/>
          </w:rPr>
          <w:t>https://j200.gov.bc.ca/pub/ams/Default.aspx?PossePresentation=AMSPublic&amp;PosseObjectDef=o_ATIS_DocumentSearch&amp;PosseMenuName=WS_Main</w:t>
        </w:r>
      </w:hyperlink>
    </w:p>
    <w:p w:rsidR="0081617C" w:rsidRPr="00873F43" w:rsidRDefault="00233336" w:rsidP="00873F43">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This dire</w:t>
      </w:r>
      <w:bookmarkStart w:id="0" w:name="_GoBack"/>
      <w:bookmarkEnd w:id="0"/>
      <w:r w:rsidRPr="00873F43">
        <w:rPr>
          <w:rFonts w:ascii="Verdana" w:hAnsi="Verdana" w:cs="Times New Roman"/>
          <w:color w:val="151515"/>
          <w:sz w:val="20"/>
          <w:szCs w:val="20"/>
          <w:lang w:val="en-CA" w:eastAsia="en-CA"/>
        </w:rPr>
        <w:t>ctory</w:t>
      </w:r>
      <w:r w:rsidR="00E27765" w:rsidRPr="00873F43">
        <w:rPr>
          <w:rFonts w:ascii="Verdana" w:hAnsi="Verdana" w:cs="Times New Roman"/>
          <w:color w:val="151515"/>
          <w:sz w:val="20"/>
          <w:szCs w:val="20"/>
          <w:lang w:val="en-CA" w:eastAsia="en-CA"/>
        </w:rPr>
        <w:t xml:space="preserve"> </w:t>
      </w:r>
      <w:r w:rsidR="00CE6E6F">
        <w:rPr>
          <w:rFonts w:ascii="Verdana" w:hAnsi="Verdana" w:cs="Times New Roman"/>
          <w:color w:val="151515"/>
          <w:sz w:val="20"/>
          <w:szCs w:val="20"/>
          <w:lang w:val="en-CA" w:eastAsia="en-CA"/>
        </w:rPr>
        <w:t>includes</w:t>
      </w:r>
      <w:r w:rsidR="00E27765" w:rsidRPr="00873F43">
        <w:rPr>
          <w:rFonts w:ascii="Verdana" w:hAnsi="Verdana" w:cs="Times New Roman"/>
          <w:color w:val="151515"/>
          <w:sz w:val="20"/>
          <w:szCs w:val="20"/>
          <w:lang w:val="en-CA" w:eastAsia="en-CA"/>
        </w:rPr>
        <w:t xml:space="preserve"> </w:t>
      </w:r>
      <w:r w:rsidR="0081617C" w:rsidRPr="00873F43">
        <w:rPr>
          <w:rFonts w:ascii="Verdana" w:hAnsi="Verdana" w:cs="Times New Roman"/>
          <w:color w:val="151515"/>
          <w:sz w:val="20"/>
          <w:szCs w:val="20"/>
          <w:lang w:val="en-CA" w:eastAsia="en-CA"/>
        </w:rPr>
        <w:t>licensing decision documents, both active and inactive</w:t>
      </w:r>
      <w:r w:rsidR="00E27765" w:rsidRPr="00873F43">
        <w:rPr>
          <w:rFonts w:ascii="Verdana" w:hAnsi="Verdana" w:cs="Times New Roman"/>
          <w:color w:val="151515"/>
          <w:sz w:val="20"/>
          <w:szCs w:val="20"/>
          <w:lang w:val="en-CA" w:eastAsia="en-CA"/>
        </w:rPr>
        <w:t>.</w:t>
      </w:r>
      <w:r w:rsidR="0081617C" w:rsidRPr="00873F43">
        <w:rPr>
          <w:rFonts w:ascii="Verdana" w:hAnsi="Verdana" w:cs="Times New Roman"/>
          <w:color w:val="151515"/>
          <w:sz w:val="20"/>
          <w:szCs w:val="20"/>
          <w:lang w:val="en-CA" w:eastAsia="en-CA"/>
        </w:rPr>
        <w:t xml:space="preserve">  Only the licence document and licence attachments such as the plat (drawing) and schedules (when applicable) are placed into this directory.</w:t>
      </w:r>
    </w:p>
    <w:p w:rsidR="00E27765" w:rsidRPr="00873F43" w:rsidRDefault="00E27765" w:rsidP="00873F43">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 xml:space="preserve">To find a document in the Scanned </w:t>
      </w:r>
      <w:r w:rsidR="001D7184" w:rsidRPr="00873F43">
        <w:rPr>
          <w:rFonts w:ascii="Verdana" w:hAnsi="Verdana" w:cs="Times New Roman"/>
          <w:color w:val="151515"/>
          <w:sz w:val="20"/>
          <w:szCs w:val="20"/>
          <w:lang w:val="en-CA" w:eastAsia="en-CA"/>
        </w:rPr>
        <w:t>Licence</w:t>
      </w:r>
      <w:r w:rsidRPr="00873F43">
        <w:rPr>
          <w:rFonts w:ascii="Verdana" w:hAnsi="Verdana" w:cs="Times New Roman"/>
          <w:color w:val="151515"/>
          <w:sz w:val="20"/>
          <w:szCs w:val="20"/>
          <w:lang w:val="en-CA" w:eastAsia="en-CA"/>
        </w:rPr>
        <w:t xml:space="preserve"> Directory, you must know what the licence number is.  The directories are pa</w:t>
      </w:r>
      <w:r w:rsidR="003D18BF" w:rsidRPr="00873F43">
        <w:rPr>
          <w:rFonts w:ascii="Verdana" w:hAnsi="Verdana" w:cs="Times New Roman"/>
          <w:color w:val="151515"/>
          <w:sz w:val="20"/>
          <w:szCs w:val="20"/>
          <w:lang w:val="en-CA" w:eastAsia="en-CA"/>
        </w:rPr>
        <w:t xml:space="preserve">rtitioned into blocks of 2500. </w:t>
      </w:r>
    </w:p>
    <w:p w:rsidR="001D7184" w:rsidRPr="00873F43" w:rsidRDefault="001D7184" w:rsidP="00873F43">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Select the appropriate block and either scroll through or press Ctrl-F to search for the licence.</w:t>
      </w:r>
    </w:p>
    <w:p w:rsidR="00E27765" w:rsidRPr="00873F43" w:rsidRDefault="00233336" w:rsidP="00873F43">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Some</w:t>
      </w:r>
      <w:r w:rsidR="00E27765" w:rsidRPr="00873F43">
        <w:rPr>
          <w:rFonts w:ascii="Verdana" w:hAnsi="Verdana" w:cs="Times New Roman"/>
          <w:color w:val="151515"/>
          <w:sz w:val="20"/>
          <w:szCs w:val="20"/>
          <w:lang w:val="en-CA" w:eastAsia="en-CA"/>
        </w:rPr>
        <w:t xml:space="preserve"> older Final and Conditional licen</w:t>
      </w:r>
      <w:r w:rsidR="001D7184" w:rsidRPr="00873F43">
        <w:rPr>
          <w:rFonts w:ascii="Verdana" w:hAnsi="Verdana" w:cs="Times New Roman"/>
          <w:color w:val="151515"/>
          <w:sz w:val="20"/>
          <w:szCs w:val="20"/>
          <w:lang w:val="en-CA" w:eastAsia="en-CA"/>
        </w:rPr>
        <w:t>ses</w:t>
      </w:r>
      <w:r w:rsidR="00E27765" w:rsidRPr="00873F43">
        <w:rPr>
          <w:rFonts w:ascii="Verdana" w:hAnsi="Verdana" w:cs="Times New Roman"/>
          <w:color w:val="151515"/>
          <w:sz w:val="20"/>
          <w:szCs w:val="20"/>
          <w:lang w:val="en-CA" w:eastAsia="en-CA"/>
        </w:rPr>
        <w:t xml:space="preserve"> contained in the directory 022500</w:t>
      </w:r>
      <w:r w:rsidR="00F36A97" w:rsidRPr="00873F43">
        <w:rPr>
          <w:rFonts w:ascii="Verdana" w:hAnsi="Verdana" w:cs="Times New Roman"/>
          <w:color w:val="151515"/>
          <w:sz w:val="20"/>
          <w:szCs w:val="20"/>
          <w:lang w:val="en-CA" w:eastAsia="en-CA"/>
        </w:rPr>
        <w:t>**</w:t>
      </w:r>
      <w:r w:rsidR="00E27765" w:rsidRPr="00873F43">
        <w:rPr>
          <w:rFonts w:ascii="Verdana" w:hAnsi="Verdana" w:cs="Times New Roman"/>
          <w:color w:val="151515"/>
          <w:sz w:val="20"/>
          <w:szCs w:val="20"/>
          <w:lang w:val="en-CA" w:eastAsia="en-CA"/>
        </w:rPr>
        <w:t xml:space="preserve"> and lower, share the same licence number.  That is why these </w:t>
      </w:r>
      <w:r w:rsidR="001D7184" w:rsidRPr="00873F43">
        <w:rPr>
          <w:rFonts w:ascii="Verdana" w:hAnsi="Verdana" w:cs="Times New Roman"/>
          <w:color w:val="151515"/>
          <w:sz w:val="20"/>
          <w:szCs w:val="20"/>
          <w:lang w:val="en-CA" w:eastAsia="en-CA"/>
        </w:rPr>
        <w:t>licenses</w:t>
      </w:r>
      <w:r w:rsidR="00E27765" w:rsidRPr="00873F43">
        <w:rPr>
          <w:rFonts w:ascii="Verdana" w:hAnsi="Verdana" w:cs="Times New Roman"/>
          <w:color w:val="151515"/>
          <w:sz w:val="20"/>
          <w:szCs w:val="20"/>
          <w:lang w:val="en-CA" w:eastAsia="en-CA"/>
        </w:rPr>
        <w:t xml:space="preserve"> have been stored in a directory that shows the "C" or "F"</w:t>
      </w:r>
      <w:r w:rsidRPr="00873F43">
        <w:rPr>
          <w:rFonts w:ascii="Verdana" w:hAnsi="Verdana" w:cs="Times New Roman"/>
          <w:color w:val="151515"/>
          <w:sz w:val="20"/>
          <w:szCs w:val="20"/>
          <w:lang w:val="en-CA" w:eastAsia="en-CA"/>
        </w:rPr>
        <w:t xml:space="preserve"> </w:t>
      </w:r>
      <w:r w:rsidR="00E27765" w:rsidRPr="00873F43">
        <w:rPr>
          <w:rFonts w:ascii="Verdana" w:hAnsi="Verdana" w:cs="Times New Roman"/>
          <w:color w:val="151515"/>
          <w:sz w:val="20"/>
          <w:szCs w:val="20"/>
          <w:lang w:val="en-CA" w:eastAsia="en-CA"/>
        </w:rPr>
        <w:t>prefix</w:t>
      </w:r>
      <w:r w:rsidR="001D7184" w:rsidRPr="00873F43">
        <w:rPr>
          <w:rFonts w:ascii="Verdana" w:hAnsi="Verdana" w:cs="Times New Roman"/>
          <w:color w:val="151515"/>
          <w:sz w:val="20"/>
          <w:szCs w:val="20"/>
          <w:lang w:val="en-CA" w:eastAsia="en-CA"/>
        </w:rPr>
        <w:t xml:space="preserve"> for the licence number.  Licens</w:t>
      </w:r>
      <w:r w:rsidR="00E27765" w:rsidRPr="00873F43">
        <w:rPr>
          <w:rFonts w:ascii="Verdana" w:hAnsi="Verdana" w:cs="Times New Roman"/>
          <w:color w:val="151515"/>
          <w:sz w:val="20"/>
          <w:szCs w:val="20"/>
          <w:lang w:val="en-CA" w:eastAsia="en-CA"/>
        </w:rPr>
        <w:t>es contained in the directory 025000 and higher, have no prefix for the licence directory.  This is</w:t>
      </w:r>
      <w:r w:rsidR="001D7184" w:rsidRPr="00873F43">
        <w:rPr>
          <w:rFonts w:ascii="Verdana" w:hAnsi="Verdana" w:cs="Times New Roman"/>
          <w:color w:val="151515"/>
          <w:sz w:val="20"/>
          <w:szCs w:val="20"/>
          <w:lang w:val="en-CA" w:eastAsia="en-CA"/>
        </w:rPr>
        <w:t xml:space="preserve"> because the numbers are unique.</w:t>
      </w:r>
    </w:p>
    <w:p w:rsidR="00E27765" w:rsidRPr="00873F43" w:rsidRDefault="00E27765" w:rsidP="00E27765">
      <w:pPr>
        <w:autoSpaceDE w:val="0"/>
        <w:autoSpaceDN w:val="0"/>
        <w:adjustRightInd w:val="0"/>
        <w:rPr>
          <w:rFonts w:ascii="Verdana" w:hAnsi="Verdana" w:cs="Times New Roman"/>
        </w:rPr>
      </w:pPr>
    </w:p>
    <w:p w:rsidR="00835C09" w:rsidRPr="00873F43" w:rsidRDefault="00835C09" w:rsidP="00835C09">
      <w:pPr>
        <w:spacing w:before="150" w:after="150"/>
        <w:outlineLvl w:val="1"/>
        <w:rPr>
          <w:rFonts w:ascii="Verdana" w:hAnsi="Verdana" w:cs="Times New Roman"/>
          <w:color w:val="151515"/>
          <w:sz w:val="28"/>
          <w:szCs w:val="28"/>
          <w:lang w:val="en-CA" w:eastAsia="en-CA"/>
        </w:rPr>
      </w:pPr>
      <w:r w:rsidRPr="00873F43">
        <w:rPr>
          <w:rFonts w:ascii="Verdana" w:hAnsi="Verdana" w:cs="Times New Roman"/>
          <w:color w:val="151515"/>
          <w:sz w:val="28"/>
          <w:szCs w:val="28"/>
          <w:lang w:val="en-CA" w:eastAsia="en-CA"/>
        </w:rPr>
        <w:t>Warranty Disclaimer</w:t>
      </w:r>
    </w:p>
    <w:p w:rsidR="00835C09" w:rsidRPr="00873F43" w:rsidRDefault="00835C09" w:rsidP="00835C09">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This information is provided as a public service by the Government of British Columbia</w:t>
      </w:r>
      <w:r w:rsidR="00924F70" w:rsidRPr="00873F43">
        <w:rPr>
          <w:rFonts w:ascii="Verdana" w:hAnsi="Verdana" w:cs="Times New Roman"/>
          <w:color w:val="151515"/>
          <w:sz w:val="20"/>
          <w:szCs w:val="20"/>
          <w:lang w:val="en-CA" w:eastAsia="en-CA"/>
        </w:rPr>
        <w:t>.</w:t>
      </w:r>
    </w:p>
    <w:p w:rsidR="00835C09" w:rsidRPr="00873F43" w:rsidRDefault="00835C09" w:rsidP="00835C09">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 xml:space="preserve">This website and all of the information it contains are provided "as is" without warranty of any kind, whether express or implied. All implied warranties, including, without limitation, implied warranties of merchantability, fitness for a particular purpose, and non-infringement, are hereby expressly disclaimed. </w:t>
      </w:r>
    </w:p>
    <w:p w:rsidR="00835C09" w:rsidRPr="00873F43" w:rsidRDefault="00835C09" w:rsidP="00835C09">
      <w:pPr>
        <w:spacing w:before="150" w:after="150"/>
        <w:outlineLvl w:val="1"/>
        <w:rPr>
          <w:rFonts w:ascii="Verdana" w:hAnsi="Verdana" w:cs="Times New Roman"/>
          <w:color w:val="151515"/>
          <w:sz w:val="28"/>
          <w:szCs w:val="28"/>
          <w:lang w:val="en-CA" w:eastAsia="en-CA"/>
        </w:rPr>
      </w:pPr>
      <w:r w:rsidRPr="00873F43">
        <w:rPr>
          <w:rFonts w:ascii="Verdana" w:hAnsi="Verdana" w:cs="Times New Roman"/>
          <w:color w:val="151515"/>
          <w:sz w:val="28"/>
          <w:szCs w:val="28"/>
          <w:lang w:val="en-CA" w:eastAsia="en-CA"/>
        </w:rPr>
        <w:t>Limitation of Liabilities</w:t>
      </w:r>
    </w:p>
    <w:p w:rsidR="007C7CBC" w:rsidRDefault="00835C09" w:rsidP="00963E3C">
      <w:pPr>
        <w:spacing w:before="100" w:beforeAutospacing="1" w:after="100" w:afterAutospacing="1" w:line="270" w:lineRule="atLeast"/>
        <w:rPr>
          <w:rFonts w:ascii="Verdana" w:hAnsi="Verdana" w:cs="Times New Roman"/>
          <w:color w:val="151515"/>
          <w:sz w:val="20"/>
          <w:szCs w:val="20"/>
          <w:lang w:val="en-CA" w:eastAsia="en-CA"/>
        </w:rPr>
      </w:pPr>
      <w:r w:rsidRPr="00873F43">
        <w:rPr>
          <w:rFonts w:ascii="Verdana" w:hAnsi="Verdana" w:cs="Times New Roman"/>
          <w:color w:val="151515"/>
          <w:sz w:val="20"/>
          <w:szCs w:val="20"/>
          <w:lang w:val="en-CA" w:eastAsia="en-CA"/>
        </w:rPr>
        <w:t>Under no circumstances will the Government of British Columbia be liable to any person or business entity for any direct, indirect, special, incidental, consequential, or other damages based on any use of this website or any other website to which this site is linked, including, without limitation, any lost profits, business interruption, or loss of programs or information, even if the Government of British Columbia has been specifically advised of the possibility of such damages.</w:t>
      </w:r>
    </w:p>
    <w:p w:rsidR="00855FFB" w:rsidRPr="00963E3C" w:rsidRDefault="0012388D" w:rsidP="00963E3C">
      <w:pPr>
        <w:spacing w:before="100" w:beforeAutospacing="1" w:after="100" w:afterAutospacing="1" w:line="270" w:lineRule="atLeast"/>
        <w:rPr>
          <w:rFonts w:ascii="Verdana" w:hAnsi="Verdana" w:cs="Times New Roman"/>
          <w:color w:val="151515"/>
          <w:sz w:val="20"/>
          <w:szCs w:val="20"/>
          <w:lang w:val="en-CA" w:eastAsia="en-CA"/>
        </w:rPr>
      </w:pPr>
      <w:r>
        <w:rPr>
          <w:rFonts w:ascii="Verdana" w:hAnsi="Verdana" w:cs="Times New Roman"/>
          <w:color w:val="151515"/>
          <w:sz w:val="20"/>
          <w:szCs w:val="20"/>
          <w:lang w:val="en-CA" w:eastAsia="en-CA"/>
        </w:rPr>
        <w:tab/>
      </w:r>
    </w:p>
    <w:sectPr w:rsidR="00855FFB" w:rsidRPr="00963E3C" w:rsidSect="007B3042">
      <w:footerReference w:type="default" r:id="rId8"/>
      <w:pgSz w:w="12240" w:h="15840" w:code="1"/>
      <w:pgMar w:top="81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2DF" w:rsidRDefault="009072DF">
      <w:r>
        <w:separator/>
      </w:r>
    </w:p>
  </w:endnote>
  <w:endnote w:type="continuationSeparator" w:id="0">
    <w:p w:rsidR="009072DF" w:rsidRDefault="0090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C80" w:rsidRPr="003D18BF" w:rsidRDefault="003D18BF" w:rsidP="00835C09">
    <w:pPr>
      <w:pStyle w:val="Footer"/>
      <w:pBdr>
        <w:top w:val="single" w:sz="4" w:space="1" w:color="auto"/>
      </w:pBdr>
      <w:rPr>
        <w:sz w:val="16"/>
        <w:szCs w:val="16"/>
        <w:lang w:val="en-CA"/>
      </w:rPr>
    </w:pPr>
    <w:r>
      <w:rPr>
        <w:sz w:val="16"/>
        <w:szCs w:val="16"/>
        <w:lang w:val="en-CA"/>
      </w:rPr>
      <w:t>June 2016</w:t>
    </w:r>
    <w:r w:rsidR="00835C09">
      <w:rPr>
        <w:sz w:val="16"/>
        <w:szCs w:val="16"/>
        <w:lang w:val="en-CA"/>
      </w:rPr>
      <w:tab/>
    </w:r>
    <w:r w:rsidR="00835C09">
      <w:rPr>
        <w:sz w:val="16"/>
        <w:szCs w:val="16"/>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2DF" w:rsidRDefault="009072DF">
      <w:r>
        <w:separator/>
      </w:r>
    </w:p>
  </w:footnote>
  <w:footnote w:type="continuationSeparator" w:id="0">
    <w:p w:rsidR="009072DF" w:rsidRDefault="00907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87"/>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6DD"/>
    <w:rsid w:val="00005F85"/>
    <w:rsid w:val="00034833"/>
    <w:rsid w:val="0012388D"/>
    <w:rsid w:val="00163313"/>
    <w:rsid w:val="00190FB2"/>
    <w:rsid w:val="001D7184"/>
    <w:rsid w:val="00233336"/>
    <w:rsid w:val="002D6503"/>
    <w:rsid w:val="0031798A"/>
    <w:rsid w:val="003D18BF"/>
    <w:rsid w:val="00463B64"/>
    <w:rsid w:val="00467479"/>
    <w:rsid w:val="00550763"/>
    <w:rsid w:val="005B15A5"/>
    <w:rsid w:val="00604CAF"/>
    <w:rsid w:val="006406DD"/>
    <w:rsid w:val="00682C80"/>
    <w:rsid w:val="007B3042"/>
    <w:rsid w:val="007C0FD8"/>
    <w:rsid w:val="007C7CBC"/>
    <w:rsid w:val="007E0A5A"/>
    <w:rsid w:val="0081617C"/>
    <w:rsid w:val="00835C09"/>
    <w:rsid w:val="00855FFB"/>
    <w:rsid w:val="00873F43"/>
    <w:rsid w:val="008742C9"/>
    <w:rsid w:val="00884215"/>
    <w:rsid w:val="008948A1"/>
    <w:rsid w:val="00895894"/>
    <w:rsid w:val="008E7AF0"/>
    <w:rsid w:val="009072DF"/>
    <w:rsid w:val="00924F70"/>
    <w:rsid w:val="00963E3C"/>
    <w:rsid w:val="009E6533"/>
    <w:rsid w:val="00A429B5"/>
    <w:rsid w:val="00A5525A"/>
    <w:rsid w:val="00AA5416"/>
    <w:rsid w:val="00AC28BA"/>
    <w:rsid w:val="00B33427"/>
    <w:rsid w:val="00B370BD"/>
    <w:rsid w:val="00B7435D"/>
    <w:rsid w:val="00C35313"/>
    <w:rsid w:val="00C63C55"/>
    <w:rsid w:val="00C951E4"/>
    <w:rsid w:val="00CD3F0A"/>
    <w:rsid w:val="00CE6E6F"/>
    <w:rsid w:val="00D343C5"/>
    <w:rsid w:val="00DA3F38"/>
    <w:rsid w:val="00DA43C3"/>
    <w:rsid w:val="00E27765"/>
    <w:rsid w:val="00F26AF6"/>
    <w:rsid w:val="00F36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85A9BB2"/>
  <w14:defaultImageDpi w14:val="0"/>
  <w15:docId w15:val="{E5553ABF-7892-4626-AFEB-FCDC145C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765"/>
    <w:pPr>
      <w:spacing w:after="0" w:line="240" w:lineRule="auto"/>
    </w:pPr>
    <w:rPr>
      <w:rFonts w:ascii="Arial" w:hAnsi="Arial" w:cs="Arial"/>
      <w:sz w:val="24"/>
      <w:szCs w:val="24"/>
      <w:lang w:val="en-US" w:eastAsia="en-US"/>
    </w:rPr>
  </w:style>
  <w:style w:type="paragraph" w:styleId="Heading1">
    <w:name w:val="heading 1"/>
    <w:basedOn w:val="Normal"/>
    <w:link w:val="Heading1Char"/>
    <w:uiPriority w:val="9"/>
    <w:qFormat/>
    <w:rsid w:val="00835C09"/>
    <w:pPr>
      <w:spacing w:before="150" w:after="150"/>
      <w:outlineLvl w:val="0"/>
    </w:pPr>
    <w:rPr>
      <w:rFonts w:ascii="Century Gothic" w:hAnsi="Century Gothic" w:cs="Times New Roman"/>
      <w:color w:val="151515"/>
      <w:kern w:val="36"/>
      <w:sz w:val="48"/>
      <w:szCs w:val="48"/>
      <w:lang w:val="en-CA" w:eastAsia="en-CA"/>
    </w:rPr>
  </w:style>
  <w:style w:type="paragraph" w:styleId="Heading2">
    <w:name w:val="heading 2"/>
    <w:basedOn w:val="Normal"/>
    <w:link w:val="Heading2Char"/>
    <w:uiPriority w:val="9"/>
    <w:qFormat/>
    <w:rsid w:val="00835C09"/>
    <w:pPr>
      <w:spacing w:before="150" w:after="150"/>
      <w:outlineLvl w:val="1"/>
    </w:pPr>
    <w:rPr>
      <w:rFonts w:ascii="Century Gothic" w:hAnsi="Century Gothic" w:cs="Times New Roman"/>
      <w:color w:val="151515"/>
      <w:sz w:val="41"/>
      <w:szCs w:val="41"/>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7CBC"/>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US" w:eastAsia="en-US"/>
    </w:rPr>
  </w:style>
  <w:style w:type="paragraph" w:styleId="Footer">
    <w:name w:val="footer"/>
    <w:basedOn w:val="Normal"/>
    <w:link w:val="FooterChar"/>
    <w:uiPriority w:val="99"/>
    <w:rsid w:val="007C7CBC"/>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lang w:val="en-US" w:eastAsia="en-US"/>
    </w:rPr>
  </w:style>
  <w:style w:type="table" w:styleId="TableGrid">
    <w:name w:val="Table Grid"/>
    <w:basedOn w:val="TableNormal"/>
    <w:uiPriority w:val="99"/>
    <w:rsid w:val="00DA3F38"/>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1617C"/>
    <w:rPr>
      <w:rFonts w:ascii="Calibri" w:hAnsi="Calibri" w:cs="Times New Roman"/>
      <w:sz w:val="22"/>
      <w:szCs w:val="21"/>
      <w:lang w:val="en-CA"/>
    </w:rPr>
  </w:style>
  <w:style w:type="character" w:customStyle="1" w:styleId="PlainTextChar">
    <w:name w:val="Plain Text Char"/>
    <w:basedOn w:val="DefaultParagraphFont"/>
    <w:link w:val="PlainText"/>
    <w:uiPriority w:val="99"/>
    <w:semiHidden/>
    <w:locked/>
    <w:rsid w:val="0081617C"/>
    <w:rPr>
      <w:rFonts w:ascii="Calibri" w:eastAsia="Times New Roman" w:hAnsi="Calibri" w:cs="Times New Roman"/>
      <w:sz w:val="21"/>
      <w:szCs w:val="21"/>
      <w:lang w:val="x-none" w:eastAsia="en-US"/>
    </w:rPr>
  </w:style>
  <w:style w:type="character" w:styleId="Hyperlink">
    <w:name w:val="Hyperlink"/>
    <w:basedOn w:val="DefaultParagraphFont"/>
    <w:uiPriority w:val="99"/>
    <w:unhideWhenUsed/>
    <w:rsid w:val="00034833"/>
    <w:rPr>
      <w:color w:val="0000FF" w:themeColor="hyperlink"/>
      <w:u w:val="single"/>
    </w:rPr>
  </w:style>
  <w:style w:type="character" w:styleId="FollowedHyperlink">
    <w:name w:val="FollowedHyperlink"/>
    <w:basedOn w:val="DefaultParagraphFont"/>
    <w:uiPriority w:val="99"/>
    <w:semiHidden/>
    <w:unhideWhenUsed/>
    <w:rsid w:val="00034833"/>
    <w:rPr>
      <w:color w:val="800080" w:themeColor="followedHyperlink"/>
      <w:u w:val="single"/>
    </w:rPr>
  </w:style>
  <w:style w:type="character" w:customStyle="1" w:styleId="Heading1Char">
    <w:name w:val="Heading 1 Char"/>
    <w:basedOn w:val="DefaultParagraphFont"/>
    <w:link w:val="Heading1"/>
    <w:uiPriority w:val="9"/>
    <w:rsid w:val="00835C09"/>
    <w:rPr>
      <w:rFonts w:ascii="Century Gothic" w:hAnsi="Century Gothic"/>
      <w:color w:val="151515"/>
      <w:kern w:val="36"/>
      <w:sz w:val="48"/>
      <w:szCs w:val="48"/>
    </w:rPr>
  </w:style>
  <w:style w:type="character" w:customStyle="1" w:styleId="Heading2Char">
    <w:name w:val="Heading 2 Char"/>
    <w:basedOn w:val="DefaultParagraphFont"/>
    <w:link w:val="Heading2"/>
    <w:uiPriority w:val="9"/>
    <w:rsid w:val="00835C09"/>
    <w:rPr>
      <w:rFonts w:ascii="Century Gothic" w:hAnsi="Century Gothic"/>
      <w:color w:val="151515"/>
      <w:sz w:val="41"/>
      <w:szCs w:val="41"/>
    </w:rPr>
  </w:style>
  <w:style w:type="paragraph" w:styleId="NormalWeb">
    <w:name w:val="Normal (Web)"/>
    <w:basedOn w:val="Normal"/>
    <w:uiPriority w:val="99"/>
    <w:semiHidden/>
    <w:unhideWhenUsed/>
    <w:rsid w:val="00835C09"/>
    <w:pPr>
      <w:spacing w:before="100" w:beforeAutospacing="1" w:after="100" w:afterAutospacing="1" w:line="270" w:lineRule="atLeast"/>
    </w:pPr>
    <w:rPr>
      <w:rFonts w:ascii="Times New Roman" w:hAnsi="Times New Roman" w:cs="Times New Roman"/>
      <w:lang w:val="en-CA" w:eastAsia="en-CA"/>
    </w:rPr>
  </w:style>
  <w:style w:type="character" w:styleId="UnresolvedMention">
    <w:name w:val="Unresolved Mention"/>
    <w:basedOn w:val="DefaultParagraphFont"/>
    <w:uiPriority w:val="99"/>
    <w:semiHidden/>
    <w:unhideWhenUsed/>
    <w:rsid w:val="001238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67278">
      <w:bodyDiv w:val="1"/>
      <w:marLeft w:val="0"/>
      <w:marRight w:val="0"/>
      <w:marTop w:val="0"/>
      <w:marBottom w:val="0"/>
      <w:divBdr>
        <w:top w:val="none" w:sz="0" w:space="0" w:color="auto"/>
        <w:left w:val="none" w:sz="0" w:space="0" w:color="auto"/>
        <w:bottom w:val="none" w:sz="0" w:space="0" w:color="auto"/>
        <w:right w:val="none" w:sz="0" w:space="0" w:color="auto"/>
      </w:divBdr>
      <w:divsChild>
        <w:div w:id="170224271">
          <w:marLeft w:val="0"/>
          <w:marRight w:val="0"/>
          <w:marTop w:val="0"/>
          <w:marBottom w:val="0"/>
          <w:divBdr>
            <w:top w:val="none" w:sz="0" w:space="0" w:color="auto"/>
            <w:left w:val="none" w:sz="0" w:space="0" w:color="auto"/>
            <w:bottom w:val="none" w:sz="0" w:space="0" w:color="auto"/>
            <w:right w:val="none" w:sz="0" w:space="0" w:color="auto"/>
          </w:divBdr>
          <w:divsChild>
            <w:div w:id="931204167">
              <w:marLeft w:val="0"/>
              <w:marRight w:val="0"/>
              <w:marTop w:val="0"/>
              <w:marBottom w:val="1200"/>
              <w:divBdr>
                <w:top w:val="none" w:sz="0" w:space="0" w:color="auto"/>
                <w:left w:val="none" w:sz="0" w:space="0" w:color="auto"/>
                <w:bottom w:val="none" w:sz="0" w:space="0" w:color="auto"/>
                <w:right w:val="none" w:sz="0" w:space="0" w:color="auto"/>
              </w:divBdr>
              <w:divsChild>
                <w:div w:id="159388958">
                  <w:marLeft w:val="0"/>
                  <w:marRight w:val="0"/>
                  <w:marTop w:val="0"/>
                  <w:marBottom w:val="0"/>
                  <w:divBdr>
                    <w:top w:val="none" w:sz="0" w:space="0" w:color="auto"/>
                    <w:left w:val="none" w:sz="0" w:space="0" w:color="auto"/>
                    <w:bottom w:val="none" w:sz="0" w:space="0" w:color="auto"/>
                    <w:right w:val="none" w:sz="0" w:space="0" w:color="auto"/>
                  </w:divBdr>
                  <w:divsChild>
                    <w:div w:id="1602180072">
                      <w:marLeft w:val="0"/>
                      <w:marRight w:val="0"/>
                      <w:marTop w:val="0"/>
                      <w:marBottom w:val="0"/>
                      <w:divBdr>
                        <w:top w:val="none" w:sz="0" w:space="0" w:color="auto"/>
                        <w:left w:val="none" w:sz="0" w:space="0" w:color="auto"/>
                        <w:bottom w:val="none" w:sz="0" w:space="0" w:color="auto"/>
                        <w:right w:val="none" w:sz="0" w:space="0" w:color="auto"/>
                      </w:divBdr>
                      <w:divsChild>
                        <w:div w:id="1123839693">
                          <w:marLeft w:val="0"/>
                          <w:marRight w:val="0"/>
                          <w:marTop w:val="0"/>
                          <w:marBottom w:val="0"/>
                          <w:divBdr>
                            <w:top w:val="none" w:sz="0" w:space="0" w:color="auto"/>
                            <w:left w:val="none" w:sz="0" w:space="0" w:color="auto"/>
                            <w:bottom w:val="none" w:sz="0" w:space="0" w:color="auto"/>
                            <w:right w:val="none" w:sz="0" w:space="0" w:color="auto"/>
                          </w:divBdr>
                          <w:divsChild>
                            <w:div w:id="2068457687">
                              <w:marLeft w:val="0"/>
                              <w:marRight w:val="0"/>
                              <w:marTop w:val="0"/>
                              <w:marBottom w:val="0"/>
                              <w:divBdr>
                                <w:top w:val="none" w:sz="0" w:space="0" w:color="auto"/>
                                <w:left w:val="none" w:sz="0" w:space="0" w:color="auto"/>
                                <w:bottom w:val="none" w:sz="0" w:space="0" w:color="auto"/>
                                <w:right w:val="none" w:sz="0" w:space="0" w:color="auto"/>
                              </w:divBdr>
                              <w:divsChild>
                                <w:div w:id="914240746">
                                  <w:marLeft w:val="0"/>
                                  <w:marRight w:val="0"/>
                                  <w:marTop w:val="0"/>
                                  <w:marBottom w:val="0"/>
                                  <w:divBdr>
                                    <w:top w:val="none" w:sz="0" w:space="0" w:color="auto"/>
                                    <w:left w:val="none" w:sz="0" w:space="0" w:color="auto"/>
                                    <w:bottom w:val="none" w:sz="0" w:space="0" w:color="auto"/>
                                    <w:right w:val="none" w:sz="0" w:space="0" w:color="auto"/>
                                  </w:divBdr>
                                  <w:divsChild>
                                    <w:div w:id="9694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0320">
      <w:marLeft w:val="0"/>
      <w:marRight w:val="0"/>
      <w:marTop w:val="0"/>
      <w:marBottom w:val="0"/>
      <w:divBdr>
        <w:top w:val="none" w:sz="0" w:space="0" w:color="auto"/>
        <w:left w:val="none" w:sz="0" w:space="0" w:color="auto"/>
        <w:bottom w:val="none" w:sz="0" w:space="0" w:color="auto"/>
        <w:right w:val="none" w:sz="0" w:space="0" w:color="auto"/>
      </w:divBdr>
    </w:div>
    <w:div w:id="1433672827">
      <w:bodyDiv w:val="1"/>
      <w:marLeft w:val="0"/>
      <w:marRight w:val="0"/>
      <w:marTop w:val="0"/>
      <w:marBottom w:val="0"/>
      <w:divBdr>
        <w:top w:val="none" w:sz="0" w:space="0" w:color="auto"/>
        <w:left w:val="none" w:sz="0" w:space="0" w:color="auto"/>
        <w:bottom w:val="none" w:sz="0" w:space="0" w:color="auto"/>
        <w:right w:val="none" w:sz="0" w:space="0" w:color="auto"/>
      </w:divBdr>
      <w:divsChild>
        <w:div w:id="725446689">
          <w:marLeft w:val="0"/>
          <w:marRight w:val="0"/>
          <w:marTop w:val="0"/>
          <w:marBottom w:val="0"/>
          <w:divBdr>
            <w:top w:val="none" w:sz="0" w:space="0" w:color="auto"/>
            <w:left w:val="none" w:sz="0" w:space="0" w:color="auto"/>
            <w:bottom w:val="none" w:sz="0" w:space="0" w:color="auto"/>
            <w:right w:val="none" w:sz="0" w:space="0" w:color="auto"/>
          </w:divBdr>
          <w:divsChild>
            <w:div w:id="563838556">
              <w:marLeft w:val="0"/>
              <w:marRight w:val="0"/>
              <w:marTop w:val="0"/>
              <w:marBottom w:val="1200"/>
              <w:divBdr>
                <w:top w:val="none" w:sz="0" w:space="0" w:color="auto"/>
                <w:left w:val="none" w:sz="0" w:space="0" w:color="auto"/>
                <w:bottom w:val="none" w:sz="0" w:space="0" w:color="auto"/>
                <w:right w:val="none" w:sz="0" w:space="0" w:color="auto"/>
              </w:divBdr>
              <w:divsChild>
                <w:div w:id="781923199">
                  <w:marLeft w:val="0"/>
                  <w:marRight w:val="0"/>
                  <w:marTop w:val="0"/>
                  <w:marBottom w:val="0"/>
                  <w:divBdr>
                    <w:top w:val="none" w:sz="0" w:space="0" w:color="auto"/>
                    <w:left w:val="none" w:sz="0" w:space="0" w:color="auto"/>
                    <w:bottom w:val="none" w:sz="0" w:space="0" w:color="auto"/>
                    <w:right w:val="none" w:sz="0" w:space="0" w:color="auto"/>
                  </w:divBdr>
                  <w:divsChild>
                    <w:div w:id="951403743">
                      <w:marLeft w:val="0"/>
                      <w:marRight w:val="0"/>
                      <w:marTop w:val="0"/>
                      <w:marBottom w:val="0"/>
                      <w:divBdr>
                        <w:top w:val="none" w:sz="0" w:space="0" w:color="auto"/>
                        <w:left w:val="none" w:sz="0" w:space="0" w:color="auto"/>
                        <w:bottom w:val="none" w:sz="0" w:space="0" w:color="auto"/>
                        <w:right w:val="none" w:sz="0" w:space="0" w:color="auto"/>
                      </w:divBdr>
                      <w:divsChild>
                        <w:div w:id="434597797">
                          <w:marLeft w:val="0"/>
                          <w:marRight w:val="0"/>
                          <w:marTop w:val="0"/>
                          <w:marBottom w:val="0"/>
                          <w:divBdr>
                            <w:top w:val="none" w:sz="0" w:space="0" w:color="auto"/>
                            <w:left w:val="none" w:sz="0" w:space="0" w:color="auto"/>
                            <w:bottom w:val="none" w:sz="0" w:space="0" w:color="auto"/>
                            <w:right w:val="none" w:sz="0" w:space="0" w:color="auto"/>
                          </w:divBdr>
                          <w:divsChild>
                            <w:div w:id="1276056151">
                              <w:marLeft w:val="0"/>
                              <w:marRight w:val="0"/>
                              <w:marTop w:val="0"/>
                              <w:marBottom w:val="0"/>
                              <w:divBdr>
                                <w:top w:val="none" w:sz="0" w:space="0" w:color="auto"/>
                                <w:left w:val="none" w:sz="0" w:space="0" w:color="auto"/>
                                <w:bottom w:val="none" w:sz="0" w:space="0" w:color="auto"/>
                                <w:right w:val="none" w:sz="0" w:space="0" w:color="auto"/>
                              </w:divBdr>
                              <w:divsChild>
                                <w:div w:id="95174299">
                                  <w:marLeft w:val="0"/>
                                  <w:marRight w:val="0"/>
                                  <w:marTop w:val="0"/>
                                  <w:marBottom w:val="0"/>
                                  <w:divBdr>
                                    <w:top w:val="none" w:sz="0" w:space="0" w:color="auto"/>
                                    <w:left w:val="none" w:sz="0" w:space="0" w:color="auto"/>
                                    <w:bottom w:val="none" w:sz="0" w:space="0" w:color="auto"/>
                                    <w:right w:val="none" w:sz="0" w:space="0" w:color="auto"/>
                                  </w:divBdr>
                                  <w:divsChild>
                                    <w:div w:id="8157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200.gov.bc.ca/pub/ams/Default.aspx?PossePresentation=AMSPublic&amp;PosseObjectDef=o_ATIS_DocumentSearch&amp;PosseMenuName=WS_Ma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30FC-3E5A-42A1-B15B-33778638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Scanned Licences Directory</vt:lpstr>
    </vt:vector>
  </TitlesOfParts>
  <Company>Province of British Columbia</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Licences Directory</dc:title>
  <dc:creator>mamoore</dc:creator>
  <cp:lastModifiedBy>Foran, Margo FLNR:EX</cp:lastModifiedBy>
  <cp:revision>17</cp:revision>
  <dcterms:created xsi:type="dcterms:W3CDTF">2014-05-28T21:30:00Z</dcterms:created>
  <dcterms:modified xsi:type="dcterms:W3CDTF">2019-01-21T17:14:00Z</dcterms:modified>
</cp:coreProperties>
</file>