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2D9" w:rsidRPr="00F41530" w:rsidRDefault="00BC62D9" w:rsidP="00BC62D9">
      <w:pPr>
        <w:spacing w:after="0"/>
        <w:jc w:val="center"/>
        <w:outlineLvl w:val="0"/>
        <w:rPr>
          <w:b/>
        </w:rPr>
      </w:pPr>
      <w:r w:rsidRPr="00F41530">
        <w:rPr>
          <w:b/>
        </w:rPr>
        <w:t>“How To” guide for users new to ArcGIS</w:t>
      </w:r>
    </w:p>
    <w:p w:rsidR="00A5073C" w:rsidRPr="00F41530" w:rsidRDefault="00BC62D9" w:rsidP="00ED69B3">
      <w:pPr>
        <w:spacing w:after="0"/>
        <w:jc w:val="center"/>
        <w:outlineLvl w:val="0"/>
        <w:rPr>
          <w:b/>
        </w:rPr>
      </w:pPr>
      <w:r>
        <w:rPr>
          <w:b/>
        </w:rPr>
        <w:t xml:space="preserve">Marbled </w:t>
      </w:r>
      <w:proofErr w:type="spellStart"/>
      <w:r>
        <w:rPr>
          <w:b/>
        </w:rPr>
        <w:t>Murrelet</w:t>
      </w:r>
      <w:proofErr w:type="spellEnd"/>
      <w:r>
        <w:rPr>
          <w:b/>
        </w:rPr>
        <w:t xml:space="preserve"> </w:t>
      </w:r>
      <w:r w:rsidR="007333E3">
        <w:rPr>
          <w:b/>
        </w:rPr>
        <w:t>Dawn Audio Visual</w:t>
      </w:r>
      <w:r>
        <w:rPr>
          <w:b/>
        </w:rPr>
        <w:t xml:space="preserve"> </w:t>
      </w:r>
      <w:r w:rsidR="00B637D1">
        <w:rPr>
          <w:b/>
        </w:rPr>
        <w:t xml:space="preserve">and Habitat </w:t>
      </w:r>
      <w:r>
        <w:rPr>
          <w:b/>
        </w:rPr>
        <w:t>Data</w:t>
      </w:r>
    </w:p>
    <w:p w:rsidR="00C94766" w:rsidRDefault="00C94766" w:rsidP="00BC62D9">
      <w:pPr>
        <w:pStyle w:val="Heading1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To View the Layers</w:t>
      </w:r>
    </w:p>
    <w:p w:rsidR="00C94766" w:rsidRDefault="00C94766" w:rsidP="00C94766">
      <w:pPr>
        <w:pStyle w:val="ListParagraph"/>
        <w:numPr>
          <w:ilvl w:val="0"/>
          <w:numId w:val="1"/>
        </w:numPr>
      </w:pPr>
      <w:r>
        <w:t xml:space="preserve">Open </w:t>
      </w:r>
      <w:proofErr w:type="spellStart"/>
      <w:r>
        <w:t>ArcGIS</w:t>
      </w:r>
      <w:proofErr w:type="spellEnd"/>
      <w:r>
        <w:t xml:space="preserve"> 10 </w:t>
      </w:r>
      <w:r>
        <w:rPr>
          <w:rFonts w:cstheme="minorHAnsi"/>
        </w:rPr>
        <w:t>→</w:t>
      </w:r>
      <w:proofErr w:type="spellStart"/>
      <w:r>
        <w:rPr>
          <w:rFonts w:cstheme="minorHAnsi"/>
        </w:rPr>
        <w:t>ArcMap</w:t>
      </w:r>
      <w:proofErr w:type="spellEnd"/>
    </w:p>
    <w:p w:rsidR="00C94766" w:rsidRDefault="00C94766" w:rsidP="00C94766">
      <w:pPr>
        <w:pStyle w:val="ListParagraph"/>
        <w:numPr>
          <w:ilvl w:val="0"/>
          <w:numId w:val="1"/>
        </w:numPr>
      </w:pPr>
      <w:r>
        <w:t xml:space="preserve">Open the </w:t>
      </w:r>
      <w:r w:rsidRPr="00155A5E">
        <w:rPr>
          <w:i/>
        </w:rPr>
        <w:t>mamu_plots_trans.mxd</w:t>
      </w:r>
      <w:r>
        <w:t xml:space="preserve"> – this is </w:t>
      </w:r>
      <w:r w:rsidR="00C40BA5">
        <w:t>a</w:t>
      </w:r>
      <w:r>
        <w:t xml:space="preserve"> map file that has the </w:t>
      </w:r>
      <w:r w:rsidR="00C40BA5">
        <w:t xml:space="preserve">5 data </w:t>
      </w:r>
      <w:r>
        <w:t>layers loaded</w:t>
      </w:r>
      <w:r w:rsidR="00155A5E">
        <w:t xml:space="preserve"> and symbolized</w:t>
      </w:r>
      <w:r>
        <w:t xml:space="preserve">.  </w:t>
      </w:r>
      <w:r w:rsidR="00C40BA5">
        <w:t>Select or de-select layers by checking box on left.</w:t>
      </w:r>
    </w:p>
    <w:p w:rsidR="00B637D1" w:rsidRDefault="00B637D1" w:rsidP="00B637D1">
      <w:pPr>
        <w:pStyle w:val="ListParagraph"/>
        <w:numPr>
          <w:ilvl w:val="1"/>
          <w:numId w:val="1"/>
        </w:numPr>
      </w:pPr>
      <w:proofErr w:type="spellStart"/>
      <w:r>
        <w:t>tdawn_vi</w:t>
      </w:r>
      <w:proofErr w:type="spellEnd"/>
      <w:r>
        <w:tab/>
      </w:r>
      <w:r w:rsidR="00C40BA5">
        <w:t xml:space="preserve">- </w:t>
      </w:r>
      <w:r>
        <w:t>station location for dawn audio-visual surveys</w:t>
      </w:r>
    </w:p>
    <w:p w:rsidR="00B637D1" w:rsidRDefault="00B637D1" w:rsidP="00B637D1">
      <w:pPr>
        <w:pStyle w:val="ListParagraph"/>
        <w:numPr>
          <w:ilvl w:val="1"/>
          <w:numId w:val="1"/>
        </w:numPr>
      </w:pPr>
      <w:proofErr w:type="spellStart"/>
      <w:r>
        <w:t>tdawn_occup</w:t>
      </w:r>
      <w:proofErr w:type="spellEnd"/>
      <w:r>
        <w:tab/>
      </w:r>
      <w:r w:rsidR="00C40BA5">
        <w:t>-</w:t>
      </w:r>
      <w:r>
        <w:t>zone in forest stand where occupied behaviour was observed</w:t>
      </w:r>
    </w:p>
    <w:p w:rsidR="00B637D1" w:rsidRDefault="00B637D1" w:rsidP="00B637D1">
      <w:pPr>
        <w:pStyle w:val="ListParagraph"/>
        <w:numPr>
          <w:ilvl w:val="1"/>
          <w:numId w:val="1"/>
        </w:numPr>
      </w:pPr>
      <w:proofErr w:type="spellStart"/>
      <w:r>
        <w:t>dawnAV_savard_watershd</w:t>
      </w:r>
      <w:proofErr w:type="spellEnd"/>
      <w:r w:rsidR="00C40BA5">
        <w:tab/>
        <w:t>- watersheds with AV surveys (</w:t>
      </w:r>
      <w:proofErr w:type="spellStart"/>
      <w:r w:rsidR="00C40BA5">
        <w:t>Savard</w:t>
      </w:r>
      <w:proofErr w:type="spellEnd"/>
      <w:r w:rsidR="00C40BA5">
        <w:t xml:space="preserve"> &amp; Lemon 1994)</w:t>
      </w:r>
    </w:p>
    <w:p w:rsidR="00B637D1" w:rsidRDefault="00B637D1" w:rsidP="00B637D1">
      <w:pPr>
        <w:pStyle w:val="ListParagraph"/>
        <w:numPr>
          <w:ilvl w:val="1"/>
          <w:numId w:val="1"/>
        </w:numPr>
      </w:pPr>
      <w:proofErr w:type="spellStart"/>
      <w:r>
        <w:t>thab_plot</w:t>
      </w:r>
      <w:proofErr w:type="spellEnd"/>
      <w:r w:rsidR="00C40BA5">
        <w:tab/>
        <w:t>- plot or transect location</w:t>
      </w:r>
    </w:p>
    <w:p w:rsidR="00B637D1" w:rsidRDefault="00B637D1" w:rsidP="00B637D1">
      <w:pPr>
        <w:pStyle w:val="ListParagraph"/>
        <w:numPr>
          <w:ilvl w:val="1"/>
          <w:numId w:val="1"/>
        </w:numPr>
      </w:pPr>
      <w:proofErr w:type="spellStart"/>
      <w:r>
        <w:t>thab_airphoto</w:t>
      </w:r>
      <w:proofErr w:type="spellEnd"/>
      <w:r w:rsidR="00C40BA5">
        <w:tab/>
        <w:t xml:space="preserve">- areas where </w:t>
      </w:r>
      <w:proofErr w:type="spellStart"/>
      <w:r w:rsidR="00C40BA5">
        <w:t>airphoto</w:t>
      </w:r>
      <w:proofErr w:type="spellEnd"/>
      <w:r w:rsidR="00C40BA5">
        <w:t xml:space="preserve"> interpretation has been done</w:t>
      </w:r>
      <w:r w:rsidR="00C40BA5" w:rsidRPr="00C40BA5">
        <w:t xml:space="preserve"> </w:t>
      </w:r>
    </w:p>
    <w:p w:rsidR="00C94766" w:rsidRDefault="00C40BA5" w:rsidP="00C94766">
      <w:pPr>
        <w:pStyle w:val="ListParagraph"/>
        <w:numPr>
          <w:ilvl w:val="0"/>
          <w:numId w:val="1"/>
        </w:numPr>
      </w:pPr>
      <w:r>
        <w:t xml:space="preserve">If the layers are not loaded, you can add the layers individually (see Data layers and Tables).  </w:t>
      </w:r>
      <w:r w:rsidR="00C94766">
        <w:t>Zoom in to area of interest using the magnifying glass near top of ArcMap page.</w:t>
      </w:r>
    </w:p>
    <w:p w:rsidR="00C94766" w:rsidRDefault="00C94766" w:rsidP="00C94766">
      <w:pPr>
        <w:pStyle w:val="ListParagraph"/>
        <w:numPr>
          <w:ilvl w:val="0"/>
          <w:numId w:val="1"/>
        </w:numPr>
      </w:pPr>
      <w:r>
        <w:t>To identify the points (i.e.: Name, Location), click the icon near the top of the ArcMap window called “Identify” (blue circle with an “</w:t>
      </w:r>
      <w:proofErr w:type="spellStart"/>
      <w:r>
        <w:t>i</w:t>
      </w:r>
      <w:proofErr w:type="spellEnd"/>
      <w:r>
        <w:t xml:space="preserve">” inside). </w:t>
      </w:r>
    </w:p>
    <w:p w:rsidR="00C94766" w:rsidRDefault="00C94766" w:rsidP="00155A5E">
      <w:pPr>
        <w:pStyle w:val="ListParagraph"/>
        <w:numPr>
          <w:ilvl w:val="0"/>
          <w:numId w:val="1"/>
        </w:numPr>
        <w:spacing w:after="0"/>
      </w:pPr>
      <w:r>
        <w:t>This will allow you to click on the points in the layer.  It will open an identify window showing all of the data for that particular point.</w:t>
      </w:r>
    </w:p>
    <w:p w:rsidR="00C97733" w:rsidRPr="00BC62D9" w:rsidRDefault="00C97733" w:rsidP="00BC62D9">
      <w:pPr>
        <w:pStyle w:val="Heading1"/>
        <w:rPr>
          <w:color w:val="auto"/>
          <w:sz w:val="24"/>
          <w:szCs w:val="24"/>
        </w:rPr>
      </w:pPr>
      <w:r w:rsidRPr="00BC62D9">
        <w:rPr>
          <w:color w:val="auto"/>
          <w:sz w:val="24"/>
          <w:szCs w:val="24"/>
        </w:rPr>
        <w:t>To view the Attribute Table:</w:t>
      </w:r>
    </w:p>
    <w:p w:rsidR="00C97733" w:rsidRDefault="00C97733" w:rsidP="00C97733">
      <w:pPr>
        <w:pStyle w:val="ListParagraph"/>
        <w:numPr>
          <w:ilvl w:val="0"/>
          <w:numId w:val="2"/>
        </w:numPr>
      </w:pPr>
      <w:r>
        <w:t xml:space="preserve">Right click on layer </w:t>
      </w:r>
      <w:r w:rsidR="00F23F64">
        <w:t>of interest in the Table of Contents</w:t>
      </w:r>
    </w:p>
    <w:p w:rsidR="00C97733" w:rsidRDefault="00C97733" w:rsidP="00C97733">
      <w:pPr>
        <w:pStyle w:val="ListParagraph"/>
        <w:numPr>
          <w:ilvl w:val="0"/>
          <w:numId w:val="2"/>
        </w:numPr>
      </w:pPr>
      <w:r>
        <w:t>Scroll down to “Attribute Table”</w:t>
      </w:r>
      <w:r w:rsidR="00F23F64">
        <w:t xml:space="preserve"> (3</w:t>
      </w:r>
      <w:r w:rsidR="00F23F64" w:rsidRPr="00F23F64">
        <w:rPr>
          <w:vertAlign w:val="superscript"/>
        </w:rPr>
        <w:t>rd</w:t>
      </w:r>
      <w:r w:rsidR="00F23F64">
        <w:t xml:space="preserve"> down)</w:t>
      </w:r>
    </w:p>
    <w:p w:rsidR="00C97733" w:rsidRDefault="00BC62D9" w:rsidP="00C97733">
      <w:pPr>
        <w:pStyle w:val="ListParagraph"/>
        <w:numPr>
          <w:ilvl w:val="0"/>
          <w:numId w:val="2"/>
        </w:numPr>
      </w:pPr>
      <w:r>
        <w:t>S</w:t>
      </w:r>
      <w:r w:rsidR="00F23F64">
        <w:t>elect</w:t>
      </w:r>
      <w:r w:rsidR="00C97733">
        <w:t xml:space="preserve"> your area of interest from the attribute table by clicking the grey box on the far left of the attribute table, next to the record you want to see</w:t>
      </w:r>
      <w:r>
        <w:t xml:space="preserve"> (you can also select by attributes or by location).  </w:t>
      </w:r>
      <w:r w:rsidR="00C97733">
        <w:t xml:space="preserve">This will highlight the row, and also highlight the point on the map. To unselect your area/point, you can click the “Clear Selected Features” icon either in the attribute table, or in the top portion of the </w:t>
      </w:r>
      <w:proofErr w:type="spellStart"/>
      <w:r w:rsidR="00C97733">
        <w:t>ArcMap</w:t>
      </w:r>
      <w:proofErr w:type="spellEnd"/>
      <w:r w:rsidR="00C97733">
        <w:t xml:space="preserve"> window.</w:t>
      </w:r>
    </w:p>
    <w:p w:rsidR="00F23F64" w:rsidRDefault="0077158C" w:rsidP="00C97733">
      <w:pPr>
        <w:pStyle w:val="ListParagraph"/>
        <w:numPr>
          <w:ilvl w:val="0"/>
          <w:numId w:val="2"/>
        </w:numPr>
      </w:pPr>
      <w:r>
        <w:t xml:space="preserve">To view related tables click on the “related tables” </w:t>
      </w:r>
      <w:r w:rsidRPr="00BC62D9">
        <w:t>icon (</w:t>
      </w:r>
      <w:fldSimple w:instr=" REF _Ref320278597 \h  \* MERGEFORMAT ">
        <w:r w:rsidR="00A65C7E" w:rsidRPr="00A65C7E">
          <w:t xml:space="preserve">Figure </w:t>
        </w:r>
        <w:r w:rsidR="00A65C7E" w:rsidRPr="00A65C7E">
          <w:rPr>
            <w:noProof/>
          </w:rPr>
          <w:t>2</w:t>
        </w:r>
      </w:fldSimple>
      <w:r w:rsidRPr="00BC62D9">
        <w:t>).  If you</w:t>
      </w:r>
      <w:r>
        <w:t xml:space="preserve"> have not selected one or more points, the table will come up blank.  Click the “show all records” rather than the “show selected records”.  You can toggle between the tables</w:t>
      </w:r>
      <w:r w:rsidR="004870C2">
        <w:t xml:space="preserve"> using the “related tables” icon.</w:t>
      </w:r>
    </w:p>
    <w:p w:rsidR="00C94766" w:rsidRPr="00BC62D9" w:rsidRDefault="00C94766" w:rsidP="00C94766">
      <w:pPr>
        <w:pStyle w:val="Heading1"/>
        <w:rPr>
          <w:color w:val="auto"/>
          <w:sz w:val="24"/>
          <w:szCs w:val="24"/>
        </w:rPr>
      </w:pPr>
      <w:r w:rsidRPr="00BC62D9">
        <w:rPr>
          <w:color w:val="auto"/>
          <w:sz w:val="24"/>
          <w:szCs w:val="24"/>
        </w:rPr>
        <w:t>To View Hyperlinks to Reports:</w:t>
      </w:r>
    </w:p>
    <w:p w:rsidR="00C94766" w:rsidRDefault="00C94766" w:rsidP="00C94766">
      <w:pPr>
        <w:pStyle w:val="ListParagraph"/>
        <w:numPr>
          <w:ilvl w:val="0"/>
          <w:numId w:val="1"/>
        </w:numPr>
      </w:pPr>
      <w:r>
        <w:t>To view the report for a particular point, click the “Hyperlink” icon near the top of the ArcMap window (looks like a yellow lightning bolt).</w:t>
      </w:r>
    </w:p>
    <w:p w:rsidR="00C94766" w:rsidRDefault="00C94766" w:rsidP="00C94766">
      <w:pPr>
        <w:pStyle w:val="ListParagraph"/>
        <w:numPr>
          <w:ilvl w:val="0"/>
          <w:numId w:val="1"/>
        </w:numPr>
      </w:pPr>
      <w:r>
        <w:t>Then click your chosen point, and a report relating the survey station will appear.</w:t>
      </w:r>
      <w:r w:rsidRPr="00C94766">
        <w:t xml:space="preserve"> </w:t>
      </w:r>
    </w:p>
    <w:p w:rsidR="00C94766" w:rsidRDefault="00C94766" w:rsidP="00C94766">
      <w:pPr>
        <w:pStyle w:val="ListParagraph"/>
        <w:numPr>
          <w:ilvl w:val="0"/>
          <w:numId w:val="1"/>
        </w:numPr>
      </w:pPr>
      <w:r>
        <w:t xml:space="preserve">If it is not working, check that the hyperlinks are </w:t>
      </w:r>
      <w:r w:rsidRPr="00BC62D9">
        <w:t>activated (</w:t>
      </w:r>
      <w:fldSimple w:instr=" REF _Ref318456511 \h  \* MERGEFORMAT ">
        <w:r w:rsidR="00A65C7E" w:rsidRPr="00A65C7E">
          <w:t xml:space="preserve">Figure </w:t>
        </w:r>
        <w:r w:rsidR="00A65C7E" w:rsidRPr="00A65C7E">
          <w:rPr>
            <w:noProof/>
          </w:rPr>
          <w:t>1</w:t>
        </w:r>
      </w:fldSimple>
      <w:r w:rsidRPr="00BC62D9">
        <w:t>).</w:t>
      </w:r>
    </w:p>
    <w:p w:rsidR="00AA1783" w:rsidRPr="00BC62D9" w:rsidRDefault="00AA1783" w:rsidP="00BC62D9">
      <w:pPr>
        <w:pStyle w:val="Heading1"/>
        <w:rPr>
          <w:color w:val="auto"/>
          <w:sz w:val="24"/>
          <w:szCs w:val="24"/>
        </w:rPr>
      </w:pPr>
      <w:r w:rsidRPr="00BC62D9">
        <w:rPr>
          <w:color w:val="auto"/>
          <w:sz w:val="24"/>
          <w:szCs w:val="24"/>
        </w:rPr>
        <w:t>To copy the screen view:</w:t>
      </w:r>
    </w:p>
    <w:p w:rsidR="00AA1783" w:rsidRDefault="00AA1783" w:rsidP="00AA1783">
      <w:pPr>
        <w:pStyle w:val="ListParagraph"/>
        <w:numPr>
          <w:ilvl w:val="0"/>
          <w:numId w:val="3"/>
        </w:numPr>
      </w:pPr>
      <w:r>
        <w:t xml:space="preserve">CTRL+PRT SC (control button and print screen buttons on your keyboard). </w:t>
      </w:r>
    </w:p>
    <w:p w:rsidR="00AA1783" w:rsidRDefault="00AA1783" w:rsidP="00AA1783">
      <w:pPr>
        <w:pStyle w:val="ListParagraph"/>
        <w:numPr>
          <w:ilvl w:val="0"/>
          <w:numId w:val="3"/>
        </w:numPr>
      </w:pPr>
      <w:r>
        <w:lastRenderedPageBreak/>
        <w:t>Open a Word Document and CTRL+V and it will copy your screen.</w:t>
      </w:r>
    </w:p>
    <w:p w:rsidR="00AA1783" w:rsidRPr="00BC62D9" w:rsidRDefault="00AA1783" w:rsidP="00BC62D9">
      <w:pPr>
        <w:pStyle w:val="Heading1"/>
        <w:rPr>
          <w:color w:val="auto"/>
          <w:sz w:val="24"/>
          <w:szCs w:val="24"/>
        </w:rPr>
      </w:pPr>
      <w:r w:rsidRPr="00BC62D9">
        <w:rPr>
          <w:color w:val="auto"/>
          <w:sz w:val="24"/>
          <w:szCs w:val="24"/>
        </w:rPr>
        <w:t>To Export the map as a pdf:</w:t>
      </w:r>
    </w:p>
    <w:p w:rsidR="00AA1783" w:rsidRDefault="001A6AEE" w:rsidP="00AA1783">
      <w:pPr>
        <w:pStyle w:val="ListParagraph"/>
        <w:numPr>
          <w:ilvl w:val="0"/>
          <w:numId w:val="4"/>
        </w:numPr>
      </w:pPr>
      <w:r>
        <w:t>In ArcMap, go to “File” menu.</w:t>
      </w:r>
    </w:p>
    <w:p w:rsidR="001A6AEE" w:rsidRDefault="001A6AEE" w:rsidP="00AA1783">
      <w:pPr>
        <w:pStyle w:val="ListParagraph"/>
        <w:numPr>
          <w:ilvl w:val="0"/>
          <w:numId w:val="4"/>
        </w:numPr>
      </w:pPr>
      <w:r>
        <w:t>Scroll down to “Export Map”</w:t>
      </w:r>
    </w:p>
    <w:p w:rsidR="001A6AEE" w:rsidRDefault="001A6AEE" w:rsidP="00AA1783">
      <w:pPr>
        <w:pStyle w:val="ListParagraph"/>
        <w:numPr>
          <w:ilvl w:val="0"/>
          <w:numId w:val="4"/>
        </w:numPr>
      </w:pPr>
      <w:r>
        <w:t>Choose where to save your map from the pull down menu, change the name of the map (if needed), and choose file type from pull down menu.</w:t>
      </w:r>
    </w:p>
    <w:p w:rsidR="002E07EC" w:rsidRPr="00BC62D9" w:rsidRDefault="002E07EC" w:rsidP="00BC62D9">
      <w:pPr>
        <w:pStyle w:val="Heading1"/>
        <w:rPr>
          <w:color w:val="auto"/>
          <w:sz w:val="24"/>
          <w:szCs w:val="24"/>
        </w:rPr>
      </w:pPr>
      <w:bookmarkStart w:id="0" w:name="_GoBack"/>
      <w:bookmarkEnd w:id="0"/>
      <w:r w:rsidRPr="00BC62D9">
        <w:rPr>
          <w:color w:val="auto"/>
          <w:sz w:val="24"/>
          <w:szCs w:val="24"/>
        </w:rPr>
        <w:t xml:space="preserve">To find </w:t>
      </w:r>
      <w:r w:rsidR="00BC62D9" w:rsidRPr="00BC62D9">
        <w:rPr>
          <w:color w:val="auto"/>
          <w:sz w:val="24"/>
          <w:szCs w:val="24"/>
        </w:rPr>
        <w:t>points or polygons of interest</w:t>
      </w:r>
      <w:r w:rsidRPr="00BC62D9">
        <w:rPr>
          <w:color w:val="auto"/>
          <w:sz w:val="24"/>
          <w:szCs w:val="24"/>
        </w:rPr>
        <w:t xml:space="preserve"> easier:</w:t>
      </w:r>
    </w:p>
    <w:p w:rsidR="002E07EC" w:rsidRDefault="002E07EC" w:rsidP="002E07EC">
      <w:pPr>
        <w:pStyle w:val="ListParagraph"/>
        <w:numPr>
          <w:ilvl w:val="0"/>
          <w:numId w:val="5"/>
        </w:numPr>
      </w:pPr>
      <w:r>
        <w:t>Open the Attribute Table.</w:t>
      </w:r>
    </w:p>
    <w:p w:rsidR="002E07EC" w:rsidRDefault="002E07EC" w:rsidP="002E07EC">
      <w:pPr>
        <w:pStyle w:val="ListParagraph"/>
        <w:numPr>
          <w:ilvl w:val="0"/>
          <w:numId w:val="5"/>
        </w:numPr>
      </w:pPr>
      <w:r>
        <w:t>Scroll across to field name of choice.</w:t>
      </w:r>
    </w:p>
    <w:p w:rsidR="002E07EC" w:rsidRDefault="002E07EC" w:rsidP="002E07EC">
      <w:pPr>
        <w:pStyle w:val="ListParagraph"/>
        <w:numPr>
          <w:ilvl w:val="0"/>
          <w:numId w:val="5"/>
        </w:numPr>
      </w:pPr>
      <w:r>
        <w:t>Right click on specified field (i.e.: Year, Name, etc.).</w:t>
      </w:r>
    </w:p>
    <w:p w:rsidR="002E07EC" w:rsidRDefault="002E07EC" w:rsidP="002E07EC">
      <w:pPr>
        <w:pStyle w:val="ListParagraph"/>
        <w:numPr>
          <w:ilvl w:val="0"/>
          <w:numId w:val="5"/>
        </w:numPr>
      </w:pPr>
      <w:r>
        <w:t>Choose “Sort Ascending”. This will order the column in numerical or alphabetical order to make finding a particular record easier.</w:t>
      </w:r>
    </w:p>
    <w:p w:rsidR="00C94766" w:rsidRDefault="00C94766" w:rsidP="00C94766">
      <w:pPr>
        <w:pStyle w:val="Heading1"/>
        <w:rPr>
          <w:color w:val="auto"/>
          <w:sz w:val="24"/>
          <w:szCs w:val="24"/>
        </w:rPr>
      </w:pPr>
      <w:r w:rsidRPr="00BC62D9">
        <w:rPr>
          <w:color w:val="auto"/>
          <w:sz w:val="24"/>
          <w:szCs w:val="24"/>
        </w:rPr>
        <w:t>Data Layers and Tables:</w:t>
      </w:r>
    </w:p>
    <w:p w:rsidR="00C94766" w:rsidRPr="00C94766" w:rsidRDefault="00C94766" w:rsidP="00C94766">
      <w:r>
        <w:t>Data are currently stored at:</w:t>
      </w:r>
      <w:r w:rsidRPr="00C94766">
        <w:t xml:space="preserve"> </w:t>
      </w:r>
      <w:r>
        <w:t>(</w:t>
      </w:r>
      <w:r w:rsidRPr="00C94766">
        <w:t>W:\wlap\nan\Workarea\cmilretz\MAMU_Data_Consolidation_2012</w:t>
      </w:r>
      <w:r>
        <w:t xml:space="preserve">)  </w:t>
      </w:r>
    </w:p>
    <w:p w:rsidR="00C94766" w:rsidRDefault="00C94766" w:rsidP="00C94766">
      <w:pPr>
        <w:pStyle w:val="ListParagraph"/>
        <w:numPr>
          <w:ilvl w:val="0"/>
          <w:numId w:val="6"/>
        </w:numPr>
      </w:pPr>
      <w:proofErr w:type="spellStart"/>
      <w:r w:rsidRPr="00E15022">
        <w:rPr>
          <w:i/>
        </w:rPr>
        <w:t>tdawn_vi</w:t>
      </w:r>
      <w:proofErr w:type="spellEnd"/>
      <w:r>
        <w:t xml:space="preserve"> – dawn audio visual survey stations for Vancouver Island; </w:t>
      </w:r>
      <w:r w:rsidR="00C40BA5">
        <w:t>some, but not all stations have hyperlinks</w:t>
      </w:r>
    </w:p>
    <w:p w:rsidR="00C94766" w:rsidRDefault="00C94766" w:rsidP="00C94766">
      <w:pPr>
        <w:pStyle w:val="ListParagraph"/>
        <w:numPr>
          <w:ilvl w:val="1"/>
          <w:numId w:val="6"/>
        </w:numPr>
      </w:pPr>
      <w:proofErr w:type="spellStart"/>
      <w:r w:rsidRPr="00E15022">
        <w:rPr>
          <w:i/>
        </w:rPr>
        <w:t>dawnAV</w:t>
      </w:r>
      <w:proofErr w:type="spellEnd"/>
      <w:r w:rsidRPr="00E15022">
        <w:rPr>
          <w:i/>
        </w:rPr>
        <w:t>_ sum</w:t>
      </w:r>
      <w:r>
        <w:t xml:space="preserve"> table – this table is joined to the </w:t>
      </w:r>
      <w:proofErr w:type="spellStart"/>
      <w:r w:rsidRPr="00E15022">
        <w:rPr>
          <w:i/>
        </w:rPr>
        <w:t>tdawn_vi</w:t>
      </w:r>
      <w:proofErr w:type="spellEnd"/>
      <w:r>
        <w:t xml:space="preserve"> layer, so that the summary data for each survey station are available in the </w:t>
      </w:r>
      <w:proofErr w:type="spellStart"/>
      <w:r w:rsidRPr="00E15022">
        <w:rPr>
          <w:i/>
        </w:rPr>
        <w:t>tdawn_vi</w:t>
      </w:r>
      <w:proofErr w:type="spellEnd"/>
      <w:r>
        <w:t xml:space="preserve"> attribute table; </w:t>
      </w:r>
      <w:proofErr w:type="spellStart"/>
      <w:r w:rsidRPr="00E15022">
        <w:rPr>
          <w:i/>
        </w:rPr>
        <w:t>tdawn_vi</w:t>
      </w:r>
      <w:proofErr w:type="spellEnd"/>
      <w:r>
        <w:t xml:space="preserve"> is symbolized based on the “Status” field;</w:t>
      </w:r>
    </w:p>
    <w:p w:rsidR="00C94766" w:rsidRDefault="00C94766" w:rsidP="00C94766">
      <w:pPr>
        <w:pStyle w:val="ListParagraph"/>
        <w:numPr>
          <w:ilvl w:val="1"/>
          <w:numId w:val="6"/>
        </w:numPr>
      </w:pPr>
      <w:r>
        <w:t xml:space="preserve"> </w:t>
      </w:r>
      <w:proofErr w:type="spellStart"/>
      <w:r w:rsidRPr="00E15022">
        <w:rPr>
          <w:i/>
        </w:rPr>
        <w:t>dawnAV_survey</w:t>
      </w:r>
      <w:proofErr w:type="spellEnd"/>
      <w:r>
        <w:t xml:space="preserve"> table – this table has a one-to-many relationship with </w:t>
      </w:r>
      <w:proofErr w:type="spellStart"/>
      <w:r w:rsidRPr="00E15022">
        <w:rPr>
          <w:i/>
        </w:rPr>
        <w:t>tdawn_vi</w:t>
      </w:r>
      <w:proofErr w:type="spellEnd"/>
      <w:r>
        <w:rPr>
          <w:i/>
        </w:rPr>
        <w:t xml:space="preserve"> </w:t>
      </w:r>
      <w:r w:rsidRPr="0077158C">
        <w:t>(</w:t>
      </w:r>
      <w:r>
        <w:t>more than one survey per survey station); it summarizes the data from each survey;</w:t>
      </w:r>
    </w:p>
    <w:p w:rsidR="00C94766" w:rsidRDefault="00C94766" w:rsidP="00C94766">
      <w:pPr>
        <w:pStyle w:val="ListParagraph"/>
        <w:numPr>
          <w:ilvl w:val="0"/>
          <w:numId w:val="6"/>
        </w:numPr>
      </w:pPr>
      <w:proofErr w:type="spellStart"/>
      <w:r w:rsidRPr="00E15022">
        <w:rPr>
          <w:i/>
        </w:rPr>
        <w:t>tdawn_occup</w:t>
      </w:r>
      <w:proofErr w:type="spellEnd"/>
      <w:r>
        <w:t xml:space="preserve"> – summary of occupied detections (from report maps) on available in TFL 44 (Port Alberni area);</w:t>
      </w:r>
    </w:p>
    <w:p w:rsidR="00C94766" w:rsidRDefault="00C94766" w:rsidP="00C94766">
      <w:pPr>
        <w:pStyle w:val="ListParagraph"/>
        <w:numPr>
          <w:ilvl w:val="0"/>
          <w:numId w:val="6"/>
        </w:numPr>
      </w:pPr>
      <w:proofErr w:type="spellStart"/>
      <w:r>
        <w:rPr>
          <w:i/>
        </w:rPr>
        <w:t>dawnAV_savard_wtrsh</w:t>
      </w:r>
      <w:r w:rsidRPr="00E15022">
        <w:rPr>
          <w:i/>
        </w:rPr>
        <w:t>d</w:t>
      </w:r>
      <w:proofErr w:type="spellEnd"/>
      <w:r>
        <w:t xml:space="preserve"> – Survey station locations were not available for the </w:t>
      </w:r>
      <w:proofErr w:type="spellStart"/>
      <w:r>
        <w:t>Savard</w:t>
      </w:r>
      <w:proofErr w:type="spellEnd"/>
      <w:r>
        <w:t xml:space="preserve"> and Lemon (1994) fixed station dawn surveys, so the summary data and survey data are linked to the watersheds that surveys occurred in;</w:t>
      </w:r>
    </w:p>
    <w:p w:rsidR="00C94766" w:rsidRDefault="00C94766" w:rsidP="00C94766">
      <w:pPr>
        <w:pStyle w:val="ListParagraph"/>
        <w:numPr>
          <w:ilvl w:val="1"/>
          <w:numId w:val="6"/>
        </w:numPr>
      </w:pPr>
      <w:r>
        <w:rPr>
          <w:i/>
        </w:rPr>
        <w:t>SL</w:t>
      </w:r>
      <w:r>
        <w:t xml:space="preserve">1994_sum table – has a one-to-many relationship with </w:t>
      </w:r>
      <w:proofErr w:type="spellStart"/>
      <w:r w:rsidRPr="0077158C">
        <w:rPr>
          <w:i/>
        </w:rPr>
        <w:t>dawnAV_savard_wtrshd</w:t>
      </w:r>
      <w:proofErr w:type="spellEnd"/>
      <w:r>
        <w:rPr>
          <w:i/>
        </w:rPr>
        <w:t xml:space="preserve"> (</w:t>
      </w:r>
      <w:r>
        <w:t>more than one survey station per watershed); this table has the summary data for each survey station;</w:t>
      </w:r>
    </w:p>
    <w:p w:rsidR="00C94766" w:rsidRDefault="00C94766" w:rsidP="00C94766">
      <w:pPr>
        <w:pStyle w:val="ListParagraph"/>
        <w:numPr>
          <w:ilvl w:val="1"/>
          <w:numId w:val="6"/>
        </w:numPr>
      </w:pPr>
      <w:r>
        <w:rPr>
          <w:i/>
        </w:rPr>
        <w:t xml:space="preserve">SL1994_survey </w:t>
      </w:r>
      <w:r>
        <w:t xml:space="preserve">table – has a one-to-many relationship with </w:t>
      </w:r>
      <w:proofErr w:type="spellStart"/>
      <w:r w:rsidRPr="0077158C">
        <w:rPr>
          <w:i/>
        </w:rPr>
        <w:t>dawnAV_savard_wtrshd</w:t>
      </w:r>
      <w:proofErr w:type="spellEnd"/>
      <w:r>
        <w:rPr>
          <w:i/>
        </w:rPr>
        <w:t xml:space="preserve"> (</w:t>
      </w:r>
      <w:r>
        <w:t xml:space="preserve">more than one survey per survey station per watershed); this table has the summary data for each survey;  </w:t>
      </w:r>
    </w:p>
    <w:p w:rsidR="00F23F64" w:rsidRDefault="00F23F64" w:rsidP="00F23F64"/>
    <w:p w:rsidR="00F23F64" w:rsidRDefault="00F23F64" w:rsidP="00F23F64">
      <w:pPr>
        <w:spacing w:before="240"/>
        <w:rPr>
          <w:rFonts w:cs="Times New Roman"/>
        </w:rPr>
        <w:sectPr w:rsidR="00F23F64" w:rsidSect="006B0A0A"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:rsidR="00F23F64" w:rsidRDefault="00F23F64" w:rsidP="00F23F64">
      <w:pPr>
        <w:spacing w:before="240"/>
        <w:rPr>
          <w:rFonts w:cs="Times New Roman"/>
        </w:rPr>
      </w:pPr>
      <w:r w:rsidRPr="00EA0B91">
        <w:rPr>
          <w:rFonts w:cs="Times New Roman"/>
          <w:noProof/>
          <w:lang w:eastAsia="en-CA"/>
        </w:rPr>
        <w:lastRenderedPageBreak/>
        <w:drawing>
          <wp:inline distT="0" distB="0" distL="0" distR="0">
            <wp:extent cx="8152028" cy="5095017"/>
            <wp:effectExtent l="19050" t="0" r="1372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49361" cy="509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3F64" w:rsidRPr="00CE63D3" w:rsidRDefault="00F23F64" w:rsidP="00F23F64">
      <w:pPr>
        <w:pStyle w:val="Caption"/>
        <w:rPr>
          <w:rFonts w:cs="Times New Roman"/>
          <w:color w:val="auto"/>
          <w:sz w:val="20"/>
          <w:szCs w:val="20"/>
        </w:rPr>
      </w:pPr>
      <w:bookmarkStart w:id="1" w:name="_Ref318456511"/>
      <w:bookmarkStart w:id="2" w:name="_Toc319581040"/>
      <w:proofErr w:type="gramStart"/>
      <w:r w:rsidRPr="00CE63D3">
        <w:rPr>
          <w:color w:val="auto"/>
          <w:sz w:val="20"/>
          <w:szCs w:val="20"/>
        </w:rPr>
        <w:t>Figur</w:t>
      </w:r>
      <w:r w:rsidRPr="00EA0B91">
        <w:rPr>
          <w:color w:val="auto"/>
          <w:sz w:val="20"/>
          <w:szCs w:val="20"/>
        </w:rPr>
        <w:t xml:space="preserve">e </w:t>
      </w:r>
      <w:proofErr w:type="gramEnd"/>
      <w:r w:rsidRPr="00EA0B91">
        <w:rPr>
          <w:color w:val="auto"/>
          <w:sz w:val="20"/>
          <w:szCs w:val="20"/>
        </w:rPr>
        <w:fldChar w:fldCharType="begin"/>
      </w:r>
      <w:r w:rsidRPr="00EA0B91">
        <w:rPr>
          <w:color w:val="auto"/>
          <w:sz w:val="20"/>
          <w:szCs w:val="20"/>
        </w:rPr>
        <w:instrText xml:space="preserve"> SEQ Figure \* ARABIC </w:instrText>
      </w:r>
      <w:r w:rsidRPr="00EA0B91">
        <w:rPr>
          <w:color w:val="auto"/>
          <w:sz w:val="20"/>
          <w:szCs w:val="20"/>
        </w:rPr>
        <w:fldChar w:fldCharType="separate"/>
      </w:r>
      <w:r w:rsidR="00A65C7E">
        <w:rPr>
          <w:noProof/>
          <w:color w:val="auto"/>
          <w:sz w:val="20"/>
          <w:szCs w:val="20"/>
        </w:rPr>
        <w:t>1</w:t>
      </w:r>
      <w:r w:rsidRPr="00EA0B91">
        <w:rPr>
          <w:color w:val="auto"/>
          <w:sz w:val="20"/>
          <w:szCs w:val="20"/>
        </w:rPr>
        <w:fldChar w:fldCharType="end"/>
      </w:r>
      <w:bookmarkEnd w:id="1"/>
      <w:proofErr w:type="gramStart"/>
      <w:r w:rsidRPr="00EA0B91">
        <w:rPr>
          <w:color w:val="auto"/>
          <w:sz w:val="20"/>
          <w:szCs w:val="20"/>
        </w:rPr>
        <w:t>.</w:t>
      </w:r>
      <w:proofErr w:type="gramEnd"/>
      <w:r w:rsidRPr="00EA0B91">
        <w:rPr>
          <w:color w:val="auto"/>
          <w:sz w:val="20"/>
          <w:szCs w:val="20"/>
        </w:rPr>
        <w:t xml:space="preserve">  Print screen showing how to define the “hyperlink” function in </w:t>
      </w:r>
      <w:proofErr w:type="spellStart"/>
      <w:r w:rsidRPr="00EA0B91">
        <w:rPr>
          <w:color w:val="auto"/>
          <w:sz w:val="20"/>
          <w:szCs w:val="20"/>
        </w:rPr>
        <w:t>ArcMap</w:t>
      </w:r>
      <w:proofErr w:type="spellEnd"/>
      <w:r w:rsidRPr="00EA0B91">
        <w:rPr>
          <w:color w:val="auto"/>
          <w:sz w:val="20"/>
          <w:szCs w:val="20"/>
        </w:rPr>
        <w:t>.</w:t>
      </w:r>
      <w:bookmarkEnd w:id="2"/>
    </w:p>
    <w:p w:rsidR="00F23F64" w:rsidRDefault="00F23F64" w:rsidP="00F23F64"/>
    <w:p w:rsidR="0077158C" w:rsidRDefault="0077158C" w:rsidP="00F23F64"/>
    <w:p w:rsidR="0077158C" w:rsidRDefault="0077158C" w:rsidP="00F23F64"/>
    <w:p w:rsidR="0077158C" w:rsidRDefault="0077158C" w:rsidP="00F23F64">
      <w:r>
        <w:rPr>
          <w:noProof/>
          <w:lang w:eastAsia="en-CA"/>
        </w:rPr>
        <w:drawing>
          <wp:inline distT="0" distB="0" distL="0" distR="0">
            <wp:extent cx="8094095" cy="4925691"/>
            <wp:effectExtent l="19050" t="0" r="215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26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7967" cy="49280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B4D" w:rsidRDefault="0077158C" w:rsidP="00C94766">
      <w:pPr>
        <w:pStyle w:val="Caption"/>
      </w:pPr>
      <w:bookmarkStart w:id="3" w:name="_Ref320278597"/>
      <w:proofErr w:type="gramStart"/>
      <w:r w:rsidRPr="0077158C">
        <w:rPr>
          <w:color w:val="auto"/>
          <w:sz w:val="20"/>
          <w:szCs w:val="20"/>
        </w:rPr>
        <w:t xml:space="preserve">Figure </w:t>
      </w:r>
      <w:proofErr w:type="gramEnd"/>
      <w:r w:rsidRPr="0077158C">
        <w:rPr>
          <w:color w:val="auto"/>
          <w:sz w:val="20"/>
          <w:szCs w:val="20"/>
        </w:rPr>
        <w:fldChar w:fldCharType="begin"/>
      </w:r>
      <w:r w:rsidRPr="0077158C">
        <w:rPr>
          <w:color w:val="auto"/>
          <w:sz w:val="20"/>
          <w:szCs w:val="20"/>
        </w:rPr>
        <w:instrText xml:space="preserve"> SEQ Figure \* ARABIC </w:instrText>
      </w:r>
      <w:r w:rsidRPr="0077158C">
        <w:rPr>
          <w:color w:val="auto"/>
          <w:sz w:val="20"/>
          <w:szCs w:val="20"/>
        </w:rPr>
        <w:fldChar w:fldCharType="separate"/>
      </w:r>
      <w:r w:rsidR="00A65C7E">
        <w:rPr>
          <w:noProof/>
          <w:color w:val="auto"/>
          <w:sz w:val="20"/>
          <w:szCs w:val="20"/>
        </w:rPr>
        <w:t>2</w:t>
      </w:r>
      <w:r w:rsidRPr="0077158C">
        <w:rPr>
          <w:color w:val="auto"/>
          <w:sz w:val="20"/>
          <w:szCs w:val="20"/>
        </w:rPr>
        <w:fldChar w:fldCharType="end"/>
      </w:r>
      <w:bookmarkEnd w:id="3"/>
      <w:proofErr w:type="gramStart"/>
      <w:r w:rsidRPr="0077158C">
        <w:rPr>
          <w:color w:val="auto"/>
          <w:sz w:val="20"/>
          <w:szCs w:val="20"/>
        </w:rPr>
        <w:t>.</w:t>
      </w:r>
      <w:proofErr w:type="gramEnd"/>
      <w:r w:rsidRPr="0077158C">
        <w:rPr>
          <w:color w:val="auto"/>
          <w:sz w:val="20"/>
          <w:szCs w:val="20"/>
        </w:rPr>
        <w:t xml:space="preserve">  </w:t>
      </w:r>
      <w:r w:rsidR="00FA364C">
        <w:rPr>
          <w:color w:val="auto"/>
          <w:sz w:val="20"/>
          <w:szCs w:val="20"/>
        </w:rPr>
        <w:t>Print screen showing h</w:t>
      </w:r>
      <w:r w:rsidRPr="0077158C">
        <w:rPr>
          <w:color w:val="auto"/>
          <w:sz w:val="20"/>
          <w:szCs w:val="20"/>
        </w:rPr>
        <w:t>ow to view related tables from the attribute tabl</w:t>
      </w:r>
      <w:r w:rsidR="00BC62D9">
        <w:rPr>
          <w:color w:val="auto"/>
          <w:sz w:val="20"/>
          <w:szCs w:val="20"/>
        </w:rPr>
        <w:t>e.</w:t>
      </w:r>
    </w:p>
    <w:sectPr w:rsidR="00EA5B4D" w:rsidSect="00C94766">
      <w:pgSz w:w="15840" w:h="12240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5" type="#_x0000_t75" style="width:8.8pt;height:8.8pt" o:bullet="t">
        <v:imagedata r:id="rId1" o:title="BD15061_"/>
      </v:shape>
    </w:pict>
  </w:numPicBullet>
  <w:abstractNum w:abstractNumId="0">
    <w:nsid w:val="44257CAF"/>
    <w:multiLevelType w:val="hybridMultilevel"/>
    <w:tmpl w:val="33A25C62"/>
    <w:lvl w:ilvl="0" w:tplc="566AB5DE">
      <w:start w:val="250"/>
      <w:numFmt w:val="bullet"/>
      <w:lvlText w:val=""/>
      <w:lvlPicBulletId w:val="0"/>
      <w:lvlJc w:val="left"/>
      <w:pPr>
        <w:ind w:left="720" w:hanging="360"/>
      </w:pPr>
      <w:rPr>
        <w:rFonts w:ascii="Symbol" w:eastAsiaTheme="minorEastAsia" w:hAnsi="Symbol" w:hint="default"/>
        <w:color w:val="auto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5E5684"/>
    <w:multiLevelType w:val="hybridMultilevel"/>
    <w:tmpl w:val="93F47146"/>
    <w:lvl w:ilvl="0" w:tplc="566AB5DE">
      <w:start w:val="250"/>
      <w:numFmt w:val="bullet"/>
      <w:lvlText w:val=""/>
      <w:lvlPicBulletId w:val="0"/>
      <w:lvlJc w:val="left"/>
      <w:pPr>
        <w:ind w:left="720" w:hanging="360"/>
      </w:pPr>
      <w:rPr>
        <w:rFonts w:ascii="Symbol" w:eastAsiaTheme="minorEastAsia" w:hAnsi="Symbol" w:hint="default"/>
        <w:color w:val="auto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7943D8"/>
    <w:multiLevelType w:val="hybridMultilevel"/>
    <w:tmpl w:val="D856DE4E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A514A1"/>
    <w:multiLevelType w:val="hybridMultilevel"/>
    <w:tmpl w:val="2642FA64"/>
    <w:lvl w:ilvl="0" w:tplc="566AB5DE">
      <w:start w:val="250"/>
      <w:numFmt w:val="bullet"/>
      <w:lvlText w:val=""/>
      <w:lvlPicBulletId w:val="0"/>
      <w:lvlJc w:val="left"/>
      <w:pPr>
        <w:ind w:left="720" w:hanging="360"/>
      </w:pPr>
      <w:rPr>
        <w:rFonts w:ascii="Symbol" w:eastAsiaTheme="minorEastAsia" w:hAnsi="Symbol" w:hint="default"/>
        <w:color w:val="auto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0B11AD"/>
    <w:multiLevelType w:val="hybridMultilevel"/>
    <w:tmpl w:val="917A9156"/>
    <w:lvl w:ilvl="0" w:tplc="566AB5DE">
      <w:start w:val="250"/>
      <w:numFmt w:val="bullet"/>
      <w:lvlText w:val=""/>
      <w:lvlPicBulletId w:val="0"/>
      <w:lvlJc w:val="left"/>
      <w:pPr>
        <w:ind w:left="720" w:hanging="360"/>
      </w:pPr>
      <w:rPr>
        <w:rFonts w:ascii="Symbol" w:eastAsiaTheme="minorEastAsia" w:hAnsi="Symbol" w:hint="default"/>
        <w:color w:val="auto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8B0C74"/>
    <w:multiLevelType w:val="hybridMultilevel"/>
    <w:tmpl w:val="C5029248"/>
    <w:lvl w:ilvl="0" w:tplc="566AB5DE">
      <w:start w:val="250"/>
      <w:numFmt w:val="bullet"/>
      <w:lvlText w:val=""/>
      <w:lvlPicBulletId w:val="0"/>
      <w:lvlJc w:val="left"/>
      <w:pPr>
        <w:ind w:left="720" w:hanging="360"/>
      </w:pPr>
      <w:rPr>
        <w:rFonts w:ascii="Symbol" w:eastAsiaTheme="minorEastAsia" w:hAnsi="Symbol" w:hint="default"/>
        <w:color w:val="auto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5"/>
  <w:proofState w:spelling="clean" w:grammar="clean"/>
  <w:defaultTabStop w:val="720"/>
  <w:characterSpacingControl w:val="doNotCompress"/>
  <w:compat/>
  <w:rsids>
    <w:rsidRoot w:val="00EA5B4D"/>
    <w:rsid w:val="00155A5E"/>
    <w:rsid w:val="001A6AEE"/>
    <w:rsid w:val="002E07EC"/>
    <w:rsid w:val="004870C2"/>
    <w:rsid w:val="004E25A7"/>
    <w:rsid w:val="006B0A0A"/>
    <w:rsid w:val="007333E3"/>
    <w:rsid w:val="0077158C"/>
    <w:rsid w:val="00A5073C"/>
    <w:rsid w:val="00A65C7E"/>
    <w:rsid w:val="00AA1783"/>
    <w:rsid w:val="00B637D1"/>
    <w:rsid w:val="00BC62D9"/>
    <w:rsid w:val="00C40BA5"/>
    <w:rsid w:val="00C94766"/>
    <w:rsid w:val="00C97733"/>
    <w:rsid w:val="00CE1E9E"/>
    <w:rsid w:val="00E15022"/>
    <w:rsid w:val="00EA5B4D"/>
    <w:rsid w:val="00ED69B3"/>
    <w:rsid w:val="00F23F64"/>
    <w:rsid w:val="00F41530"/>
    <w:rsid w:val="00FA36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0A0A"/>
  </w:style>
  <w:style w:type="paragraph" w:styleId="Heading1">
    <w:name w:val="heading 1"/>
    <w:basedOn w:val="Normal"/>
    <w:next w:val="Normal"/>
    <w:link w:val="Heading1Char"/>
    <w:uiPriority w:val="9"/>
    <w:qFormat/>
    <w:rsid w:val="00BC62D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5B4D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ED6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D69B3"/>
    <w:rPr>
      <w:rFonts w:ascii="Tahoma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3F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3F64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uiPriority w:val="35"/>
    <w:unhideWhenUsed/>
    <w:qFormat/>
    <w:rsid w:val="00F23F64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BC62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5B4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3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1A56FF-6B1E-4D61-A030-6606049B4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675</Words>
  <Characters>3853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Province of British Columbia</Company>
  <LinksUpToDate>false</LinksUpToDate>
  <CharactersWithSpaces>4519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cmilretz</cp:lastModifiedBy>
  <cp:revision>9</cp:revision>
  <cp:lastPrinted>2012-03-23T23:41:00Z</cp:lastPrinted>
  <dcterms:created xsi:type="dcterms:W3CDTF">2012-03-23T21:31:00Z</dcterms:created>
  <dcterms:modified xsi:type="dcterms:W3CDTF">2012-03-23T23:41:00Z</dcterms:modified>
</cp:coreProperties>
</file>